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6"/>
      </w:tblGrid>
      <w:tr w:rsidR="00B858AE" w:rsidRPr="00B858AE" w:rsidTr="00B858A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858AE" w:rsidRPr="00B858AE" w:rsidRDefault="00B858AE" w:rsidP="00B858AE">
            <w:pPr>
              <w:pBdr>
                <w:bottom w:val="single" w:sz="6" w:space="0" w:color="666666"/>
              </w:pBdr>
              <w:shd w:val="clear" w:color="auto" w:fill="FFFFFF"/>
              <w:spacing w:after="0" w:line="225" w:lineRule="atLeast"/>
              <w:outlineLvl w:val="6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 затвердження Переліку </w:t>
            </w:r>
            <w:proofErr w:type="gramStart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іністративних послуг, що надаються через Центр надання адміністративних послуг Кремінської райдержадміністрації </w:t>
            </w:r>
          </w:p>
        </w:tc>
      </w:tr>
      <w:tr w:rsidR="00B858AE" w:rsidRPr="00B858AE" w:rsidTr="00B858A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858AE" w:rsidRPr="00B858AE" w:rsidRDefault="00B858AE" w:rsidP="00B858AE">
            <w:pPr>
              <w:spacing w:after="24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648C08B" wp14:editId="700F748D">
                  <wp:extent cx="695325" cy="828675"/>
                  <wp:effectExtent l="0" t="0" r="9525" b="9525"/>
                  <wp:docPr id="1" name="Рисунок 1" descr="http://old.krem.loga.gov.ua/images/ger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d.krem.loga.gov.ua/images/ger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B858AE">
              <w:rPr>
                <w:rFonts w:ascii="Tahoma" w:eastAsia="Times New Roman" w:hAnsi="Tahoma" w:cs="Tahoma"/>
                <w:b/>
                <w:bCs/>
                <w:caps/>
                <w:color w:val="000000"/>
                <w:sz w:val="17"/>
                <w:szCs w:val="17"/>
                <w:lang w:eastAsia="ru-RU"/>
              </w:rPr>
              <w:t>КРЕМІНСЬКА РДА</w:t>
            </w:r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br/>
              <w:t>РОЗПОРЯДЖЕННЯ</w:t>
            </w: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 xml:space="preserve">від 22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лютого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2017 року № 214 </w:t>
            </w: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Про затвердження Переліку </w:t>
            </w:r>
            <w:proofErr w:type="gramStart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іністративних послуг, що надаються через Центр надання адміністративних послуг Кремінської райдержадміністрації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        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метою впорядкування та поліпшення надання адміністративних послуг, розширення доступу до інформації, необхідної для їх отримання, створення сприятливих умов для реалізації фізичними  та юридичними особами їх конституційних прав, свобод і законних інтересів, керуючись ст. 119 Конституції України, ст. ст. 6, 13, 41 Закону України «Про місцеві державні адміністрації», ст. 3, ст. 8 Закону України «Про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іністративні послуги», Законами України «Про дозвільну систему у сфері господарської діяльності», «Про Перелік документів дозвільного характеру у сфері господарської діяльності», «Про державну реєстрацію юридичних осіб, фізичних осіб – підприємців та громадських формувань», «Про державну реєстрацію речових прав на нерухоме майно та їх обтяжень», Указом Президента України від          03 липня 2009 року № 508 «Про заходи із забезпечення додержання прав фізичних та юридичних осіб щодо одержання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іністративних (державних) послуг», розпорядженням Кабінету Міністрів України від 16 травня 2014 року № 523-р «Деякі питання надання адміністративних послуг органів виконавчої влади через центри надання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іністративних послуг»: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1. Затвердити Перелік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іністративних послуг, у тому числі з видачі документів дозвільного характеру, які надаються через Центр надання адміністративних послуг Кремінської райдержадміністрації, що додається.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2. Затвердити Перелік 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іністративних послуг, які надаються безпосередньо представниками органів виконавчої влади у приміщенні Центру надання адміністративних послуг Кремінської райдержадміністрації, що  додається.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        3. Контроль за виконанням даного розпорядження залишаю за собою.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Голова райдержадміністрації                                                                   Н.В. Чехута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                                                    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                                                                      ЗАТВЕРДЖЕНО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Розпорядження голови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райдержадміністрації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від    _22_ _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лютого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_  2017 року № _214__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Перелік </w:t>
            </w:r>
            <w:proofErr w:type="gramStart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іністративних послуг, у тому числі з видачі документів дозвільного характеру, які надаються через Центр надання адміністративних послуг Кремінської райдержадміністрації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tbl>
            <w:tblPr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9105"/>
            </w:tblGrid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№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з/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іністративної послуги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Служба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у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справах дітей Кремінської райдержадміністрації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дозволу на укладення договору щодо майна дитини, який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ідлягає нотаріальному посвідченню та/або державній реєстрації, на відмову від належних дитині майнових прав, вчинення інших правочинів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Відділ містобудування та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арх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ітектури Кремінської  райдержадміністрації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будівельного  паспорту забудови земельної ділянки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Надання містобудівних  умов і обмежень забудови земельної ділянки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паспорта прив’язки тимчасової споруди для провадження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ідприємницької діяльності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Надання висновку про погодження проекту землеустрою щодо відведення земельної ділянки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Відділ освіти Кремінської райдержадміністрації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цільових направлень для вступу до вищих навчальних закладів ІV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івня акредитації абітурієнтам, які постійно проживають у сільській місцевості або селищах міського типу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Державний реєстратор Центру надання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іністративних послуг Кремінської райдержадміністрації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фізичної особи, яка має намі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стати підприємцем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 до відомостей про фізичну особу –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ідприємця, які містяться в Єдиному державному реєстрі юридичних осіб та фізичних осіб – підприємців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ідприємницької діяльності фізичної особи – підприємця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включення відомостей про фізичну особу –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ідприємця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юридичної особи (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у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тому числі в результаті виділу, злиття, перетворення, поділу)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юридичної особи – державного органу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юридичну особу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переходу юридичної особи на діяльність на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ідставі модельного статуту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переходу юридичної особи з модельного статуту на діяльність на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ідставі власного установчого документа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виділ юридичної особи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юридичної особи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відміну рішення про припинення юридичної особи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зміни складу комісії з припинення (комісії з реорганізації, ліквідаційної комісії), голови комі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сії або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ліквідатора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створення  відокремленого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ідрозділу юридичної особи 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юридичну особу,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і, у тому числі змін до установчих документів юридичної особи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юридичної особи в результаті її ліквідації або реорганізації (поділу, злиття, приєднання, перетворення)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 юридичної особи в результаті її реорганізації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ісля закінчення процедури припинення, але не раніше закінчення строку заявлення вимог кредиторами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 до відомостей про відокремлений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 юридичної особи, що містяться в Єдиному державному реєстрі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  відокремленого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ідрозділу юридичної особи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Надання витягу з Єдиного державного реєстру юридичних осіб, фізичних осіб -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Виправлення помилок, допущених у відомостях Єдиного державного реєстру</w:t>
                  </w:r>
                </w:p>
              </w:tc>
            </w:tr>
            <w:tr w:rsidR="00B858AE" w:rsidRPr="00B858AE" w:rsidTr="00B858AE">
              <w:trPr>
                <w:trHeight w:val="165"/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Державний реєстратор Центру надання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іністративних послуг Кремінської райдержадміністрації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права власності на нерухоме майно (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ім випадків державної реєстрації права власності на підприємство як єдиний майновий комплекс)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права власності на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ідприємство як єдиний майновий комплекс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речових прав, похідних від права власності (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ім випадків державної реєстрації інших речових прав, похідних від права власності на підприємство як єдиний майновий комплекс)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речових прав, похідних від права власності на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ідприємство як єдиний майновий комплекс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обтяжень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Внесення змін до записів Державного реєстру прав, у тому числі виправлення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техн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ічної помилки, допущеної з вини заявника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Внесення змін до записів Державного реєстру прав, у тому числі виправлення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техн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ічної помилки, допущеної державним реєстратором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</w:t>
                  </w:r>
                  <w:proofErr w:type="gramEnd"/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Надання інформації з Державного реєстру прав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Кремінський міськрайонний відділ ГУ ДСНС в Луганській області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Реєстрація декларації відповідності матеріально –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техн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ічної бази суб’єкта господарювання вимогам законодавства з питань пожежної безпеки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Управління Держпродспоживслужби в Кремінському районі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експлуатаційного дозволу для потужностей (об'єктів): з переробки неї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івних продуктів тваринного походження; з виробництва, змішування та приготування кормових добавок, преміксів і кормів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дозволу на проведення заходів із залученням тварин</w:t>
                  </w:r>
                </w:p>
              </w:tc>
            </w:tr>
            <w:tr w:rsidR="00B858AE" w:rsidRPr="00B858AE" w:rsidTr="00B858AE">
              <w:trPr>
                <w:trHeight w:val="960"/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експлуатаційного дозволу  операторам ринку, що провадить 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діяльність пов’язану з виробництвом та/або зберіганням харчових продуктів тваринного походження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Державне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ідприємство «Кремінське лісомисливське господарство»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спеціального дозволу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на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спец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іальне використання лісових ресурсів (лісорубний квиток, ордер, лісовий квиток) 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Відділ  Держгеокадастру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у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Кремінському районі Луганської області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відомостей з документації із землеустрою, що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включена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до Державного фонду документації із землеустрою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довідки з державної статистичної звітності про наявність земель та розподіл їх за власниками земель, землекористувачами, угіддями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Видача витягу з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техн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ічної документації про нормативну грошову оцінку земельної ділянки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Головне територіальне управління юстиції у Луганській області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творчої спілки, територіального осередку творчої спілки в результаті ліквідації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зміни складу комісії з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( 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комісії з реорганізації, ліквідаційної комісії) творчої спілки, територіального осередку творчої спілки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творчої спілки, територіального осередку творчої спілки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творчу спілку, територіальний осередок творчої спілки,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формувань, у тому числі змін до установчих документів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творчої спілки, територіального осередку творчої спілки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професійної спілки, організації професійних спілок, об’єднання професійних спілок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            осіб – підприємців та громадських формувань, у тому числі змін до установчих документів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професійної спілки, організації професійних спілок, об’єднання професійних спілок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творчої спілки, територіального осередку творчої спілки в результаті реорганізації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організацію роботодавців, об’єднання організацій роботодавців, зареєстровані до 01 липня 2004 року, відомості про які не містяться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професійної спілки, організації професійних спілок, об’єднання професійних спілок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зміни складу комісії з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( 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комісії з реорганізації, ліквідаційної комісії) професійної спілки, організації професійних спілок, об’єднання професійних спілок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 організації роботодавців, об’єднання організацій роботодавців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результаті реорганізації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 організації роботодавців, об’єднання організацій роботодавців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результаті ліквідації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зміни складу комісії з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( 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комісії з реорганізації, ліквідаційної комісії) організації роботодавців, об’єднання організацій роботодавців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організації роботодавців, об’єднання організацій роботодавців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формувань, у тому числі змін до установчих документів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організації роботодавців, об’єднання організацій роботодавці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відміну рішення про припинення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виділ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громадське об’єднання,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формувань, у тому числі змін до установчих документів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громадське об’єднання, зареєстровані до 01 липня 2004 року, відомості про які не містяться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rHeight w:val="660"/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припинення відокремленого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ідрозділу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внесення змін до відомостей про відокремлений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створення відокремленого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ідрозділу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громадського об’єднання в результаті реорганізації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громадського об’єднання в результаті ліквідації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зміни складу комісії з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( 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комісії з реорганізації, ліквідаційної комісії) громадського об’єднання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структурного утворення політичної партії в результаті ліквідації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зміни складу комісії з припинення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( 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комісії з реорганізації, ліквідаційної комісії) структурного утворення політичної партії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Державна реєстрація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ішення про припинення структурного утворення політичної партії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змін до відомостей про структурне утворення політичної партії, що містяться в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 осіб – підприємців та громадських формувань, у тому числі змін до установчих документів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створення структурного утворення політичної партії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включення відомостей про структурне утворення політичної партії, зареєстровані до 01 липня 2004 року, відомості про які не містяться Єдиному державному реє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стр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 юридичних осіб, фізичних         осіб – підприємців та громадських формувань</w:t>
                  </w:r>
                </w:p>
              </w:tc>
            </w:tr>
            <w:tr w:rsidR="00B858AE" w:rsidRPr="00B858AE" w:rsidT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припинення структурного утворення політичної партії в результаті реорганізації</w:t>
                  </w:r>
                </w:p>
              </w:tc>
            </w:tr>
          </w:tbl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Начальник відділу з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питань організаційно – кадрової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роботи райдержадміністрації                                                                О.Л. Крутько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                                                                      ЗАТВЕРДЖЕНО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Розпорядження голови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райдержадміністрації</w:t>
            </w:r>
          </w:p>
          <w:p w:rsidR="00B858AE" w:rsidRPr="00B858AE" w:rsidRDefault="00B858AE" w:rsidP="00B858AE">
            <w:pPr>
              <w:spacing w:after="0" w:line="225" w:lineRule="atLeast"/>
              <w:ind w:left="482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від    _22_ _</w:t>
            </w:r>
            <w:proofErr w:type="gramStart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лютого</w:t>
            </w:r>
            <w:proofErr w:type="gramEnd"/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_  2017 року № _214__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Перелік </w:t>
            </w:r>
            <w:proofErr w:type="gramStart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адм</w:t>
            </w:r>
            <w:proofErr w:type="gramEnd"/>
            <w:r w:rsidRPr="00B858AE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іністративних послуг, які надаються безпосередньо представниками органів виконавчої влади у приміщенні Центру надання адміністративних послуг Кремінської райдержадміністрації</w:t>
            </w:r>
          </w:p>
          <w:p w:rsidR="00B858AE" w:rsidRPr="00B858AE" w:rsidRDefault="00B858AE" w:rsidP="00B858AE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tbl>
            <w:tblPr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9105"/>
            </w:tblGrid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№</w:t>
                  </w:r>
                </w:p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з/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Вид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іністративної послуги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97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Відділ  Держгеокадастру 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у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Кремінському районі Луганської області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земельної ділянки з видачею витягу з Державного земельного кадастру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Внесення до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Державного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земельного кадастру відомостей (змін до них) про земельну ділянку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      </w:r>
                  <w:proofErr w:type="gramEnd"/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Внесення до Державного земельного кадастру відомостей (змін до них) про землі в межах територій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іністративно-територіальних одиниць з видачею витягу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Державна реєстрація обмежень у використанні земель з видачею витягу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Внесення до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Державного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Виправлення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техн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ічної помилки у відомостях з Державного земельного кадастру, допущеної органом, що здійснює його ведення, з видачею витягу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Надання відомостей з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Державного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земельного кадастру у формі: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8.1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витягу з Державного земельного кадастру про: землі в межах території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адм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іністративно-територіальних одиниць </w:t>
                  </w: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обмеження у використанні земель земельну ділянку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8.2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довідки, що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містить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узагальнену інформацію про землі (території)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8.3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викопіювань з кадастрової карти (плану) та іншої картографічної документації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Видача довідки про: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9.1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наявність та розмі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земельної частки (паю)</w:t>
                  </w:r>
                </w:p>
              </w:tc>
            </w:tr>
            <w:tr w:rsidR="00B858AE" w:rsidRPr="00B858AE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9.2</w:t>
                  </w:r>
                </w:p>
              </w:tc>
              <w:tc>
                <w:tcPr>
                  <w:tcW w:w="9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58AE" w:rsidRPr="00B858AE" w:rsidRDefault="00B858AE" w:rsidP="00B858AE">
                  <w:pPr>
                    <w:spacing w:after="0" w:line="225" w:lineRule="atLeas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наявність у </w:t>
                  </w:r>
                  <w:proofErr w:type="gramStart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Державному</w:t>
                  </w:r>
                  <w:proofErr w:type="gramEnd"/>
                  <w:r w:rsidRPr="00B858AE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      </w:r>
                </w:p>
              </w:tc>
            </w:tr>
          </w:tbl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Начальник відділу з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питань організаційно – кадрової</w:t>
            </w:r>
          </w:p>
          <w:p w:rsidR="00B858AE" w:rsidRPr="00B858AE" w:rsidRDefault="00B858AE" w:rsidP="00B858AE">
            <w:pPr>
              <w:spacing w:after="0" w:line="225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858A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роботи райдержадміністрації                                                                О.Л. Крутько</w:t>
            </w:r>
          </w:p>
        </w:tc>
      </w:tr>
      <w:tr w:rsidR="00B858AE" w:rsidRPr="00B858AE" w:rsidTr="00B858A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B858AE" w:rsidRPr="00B858AE" w:rsidRDefault="00B858AE" w:rsidP="00B858AE">
            <w:pPr>
              <w:spacing w:after="240" w:line="225" w:lineRule="atLeast"/>
              <w:jc w:val="center"/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</w:tbl>
    <w:p w:rsidR="00AE2C8F" w:rsidRPr="00B858AE" w:rsidRDefault="00AE2C8F">
      <w:pPr>
        <w:rPr>
          <w:rFonts w:ascii="Times New Roman" w:hAnsi="Times New Roman" w:cs="Times New Roman"/>
        </w:rPr>
      </w:pPr>
    </w:p>
    <w:sectPr w:rsidR="00AE2C8F" w:rsidRPr="00B8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E"/>
    <w:rsid w:val="00AE2C8F"/>
    <w:rsid w:val="00B8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2450</Words>
  <Characters>13970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2017-07-03T12:11:00Z</dcterms:created>
  <dcterms:modified xsi:type="dcterms:W3CDTF">2017-07-03T12:12:00Z</dcterms:modified>
</cp:coreProperties>
</file>